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i w:val="0"/>
          <w:color w:val="10B981"/>
          <w:sz w:val="32"/>
        </w:rPr>
        <w:t>DigiAudit AI</w:t>
      </w:r>
      <w:r>
        <w:rPr>
          <w:rFonts w:ascii="Calibri" w:hAnsi="Calibri"/>
          <w:b w:val="0"/>
          <w:i w:val="0"/>
          <w:sz w:val="12"/>
        </w:rPr>
        <w:br/>
      </w:r>
      <w:r>
        <w:rPr>
          <w:rFonts w:ascii="Calibri" w:hAnsi="Calibri"/>
          <w:b/>
          <w:i w:val="0"/>
          <w:color w:val="6B7280"/>
          <w:sz w:val="14"/>
        </w:rPr>
        <w:t>BY DIGI COSMOS</w:t>
      </w:r>
    </w:p>
    <w:p>
      <w:pPr>
        <w:spacing w:before="40" w:after="120"/>
        <w:jc w:val="center"/>
      </w:pPr>
      <w:r>
        <w:rPr>
          <w:rFonts w:ascii="Calibri" w:hAnsi="Calibri"/>
          <w:b w:val="0"/>
          <w:i w:val="0"/>
          <w:color w:val="10B981"/>
          <w:sz w:val="8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spacing w:before="0" w:after="40"/>
      </w:pPr>
      <w:r>
        <w:rPr>
          <w:rFonts w:ascii="Calibri" w:hAnsi="Calibri"/>
          <w:b/>
          <w:i w:val="0"/>
          <w:color w:val="F3F4F6"/>
          <w:sz w:val="40"/>
        </w:rPr>
        <w:t>From Digital Chaos to</w:t>
      </w:r>
    </w:p>
    <w:p>
      <w:pPr>
        <w:spacing w:before="0" w:after="40"/>
      </w:pPr>
      <w:r>
        <w:rPr>
          <w:rFonts w:ascii="Calibri" w:hAnsi="Calibri"/>
          <w:b/>
          <w:i w:val="0"/>
          <w:color w:val="10B981"/>
          <w:sz w:val="40"/>
        </w:rPr>
        <w:t>Algorithmic Certainty</w:t>
      </w:r>
    </w:p>
    <w:p>
      <w:pPr>
        <w:spacing w:before="0" w:after="200"/>
      </w:pPr>
      <w:r>
        <w:rPr>
          <w:rFonts w:ascii="Calibri" w:hAnsi="Calibri"/>
          <w:b/>
          <w:i w:val="0"/>
          <w:color w:val="FFFFFF"/>
          <w:sz w:val="40"/>
        </w:rPr>
        <w:t>with DigiAudit AI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7218"/>
      </w:tblGrid>
      <w:tr>
        <w:tc>
          <w:tcPr>
            <w:tcW w:type="dxa" w:w="7218"/>
            <w:shd w:val="clear" w:color="auto" w:fill="0D1F17"/>
            <w:tcBorders>
              <w:top w:val="single" w:sz="6" w:color="10B981" w:space="0"/>
              <w:bottom w:val="single" w:sz="6" w:color="10B981" w:space="0"/>
              <w:left w:val="single" w:sz="6" w:color="10B981" w:space="0"/>
              <w:right w:val="single" w:sz="6" w:color="10B981" w:space="0"/>
            </w:tcBorders>
          </w:tcPr>
          <w:p>
            <w:pPr>
              <w:spacing w:before="80" w:after="40"/>
            </w:pPr>
            <w:r>
              <w:rPr>
                <w:rFonts w:ascii="Calibri" w:hAnsi="Calibri"/>
                <w:b/>
                <w:i w:val="0"/>
                <w:color w:val="10B981"/>
                <w:sz w:val="16"/>
              </w:rPr>
              <w:t>YOUR DIGITAL DOMINANCE &amp; WINNING ROADMAP</w:t>
            </w:r>
          </w:p>
          <w:p>
            <w:pPr>
              <w:spacing w:before="0" w:after="80"/>
            </w:pPr>
            <w:r>
              <w:rPr>
                <w:rFonts w:ascii="Calibri" w:hAnsi="Calibri"/>
                <w:b w:val="0"/>
                <w:i w:val="0"/>
                <w:color w:val="D1D5DB"/>
                <w:sz w:val="16"/>
              </w:rPr>
              <w:t>» Business Needs</w:t>
            </w: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 xml:space="preserve"> · </w:t>
            </w:r>
            <w:r>
              <w:rPr>
                <w:rFonts w:ascii="Calibri" w:hAnsi="Calibri"/>
                <w:b w:val="0"/>
                <w:i w:val="0"/>
                <w:color w:val="10B981"/>
                <w:sz w:val="16"/>
              </w:rPr>
              <w:t>Strategic Value</w:t>
            </w: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 xml:space="preserve"> · </w:t>
            </w:r>
            <w:r>
              <w:rPr>
                <w:rFonts w:ascii="Calibri" w:hAnsi="Calibri"/>
                <w:b w:val="0"/>
                <w:i w:val="0"/>
                <w:color w:val="D1D5DB"/>
                <w:sz w:val="16"/>
              </w:rPr>
              <w:t>Financial Feasibility</w:t>
            </w: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 xml:space="preserve"> · </w:t>
            </w:r>
            <w:r>
              <w:rPr>
                <w:rFonts w:ascii="Calibri" w:hAnsi="Calibri"/>
                <w:b w:val="0"/>
                <w:i w:val="0"/>
                <w:color w:val="10B981"/>
                <w:sz w:val="16"/>
              </w:rPr>
              <w:t>Org. Readiness</w:t>
            </w: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 xml:space="preserve"> · </w:t>
            </w:r>
            <w:r>
              <w:rPr>
                <w:rFonts w:ascii="Calibri" w:hAnsi="Calibri"/>
                <w:b w:val="0"/>
                <w:i w:val="0"/>
                <w:color w:val="D1D5DB"/>
                <w:sz w:val="16"/>
              </w:rPr>
              <w:t>Managed Risks &amp; Compliance</w:t>
            </w:r>
          </w:p>
        </w:tc>
      </w:tr>
    </w:tbl>
    <w:p>
      <w:pPr>
        <w:spacing w:before="40" w:after="80"/>
      </w:pPr>
    </w:p>
    <w:p>
      <w:pPr>
        <w:spacing w:before="0" w:after="160"/>
      </w:pPr>
      <w:r>
        <w:rPr>
          <w:rFonts w:ascii="Calibri" w:hAnsi="Calibri"/>
          <w:b/>
          <w:i w:val="0"/>
          <w:color w:val="10B981"/>
          <w:sz w:val="14"/>
        </w:rPr>
        <w:t>◆ Multi-LLM, 14 Stage Deep Analysis</w:t>
      </w:r>
      <w:r>
        <w:rPr>
          <w:rFonts w:ascii="Calibri" w:hAnsi="Calibri"/>
          <w:b w:val="0"/>
          <w:i w:val="0"/>
          <w:sz w:val="14"/>
        </w:rPr>
        <w:t xml:space="preserve">   </w:t>
      </w:r>
      <w:r>
        <w:rPr>
          <w:rFonts w:ascii="Calibri" w:hAnsi="Calibri"/>
          <w:b/>
          <w:i w:val="0"/>
          <w:color w:val="93C5FD"/>
          <w:sz w:val="14"/>
        </w:rPr>
        <w:t>◆ Evidence mapping &amp; advanced Filters</w:t>
      </w:r>
      <w:r>
        <w:rPr>
          <w:rFonts w:ascii="Calibri" w:hAnsi="Calibri"/>
          <w:b w:val="0"/>
          <w:i w:val="0"/>
          <w:sz w:val="14"/>
        </w:rPr>
        <w:t xml:space="preserve">   </w:t>
      </w:r>
      <w:r>
        <w:rPr>
          <w:rFonts w:ascii="Calibri" w:hAnsi="Calibri"/>
          <w:b/>
          <w:i w:val="0"/>
          <w:color w:val="A78BFA"/>
          <w:sz w:val="14"/>
        </w:rPr>
        <w:t>◆ Pipeline v3.3</w:t>
      </w:r>
      <w:r>
        <w:rPr>
          <w:rFonts w:ascii="Calibri" w:hAnsi="Calibri"/>
          <w:b w:val="0"/>
          <w:i w:val="0"/>
          <w:sz w:val="14"/>
        </w:rPr>
        <w:t xml:space="preserve">   </w:t>
      </w:r>
      <w:r>
        <w:rPr>
          <w:rFonts w:ascii="Calibri" w:hAnsi="Calibri"/>
          <w:b/>
          <w:i w:val="0"/>
          <w:color w:val="FCD34D"/>
          <w:sz w:val="14"/>
        </w:rPr>
        <w:t>◆ NACD-Ready Reports</w:t>
      </w:r>
    </w:p>
    <w:p>
      <w:pPr>
        <w:spacing w:before="0" w:after="60" w:line="280" w:lineRule="exact"/>
      </w:pPr>
      <w:r>
        <w:rPr>
          <w:rFonts w:ascii="Calibri" w:hAnsi="Calibri"/>
          <w:b/>
          <w:i w:val="0"/>
          <w:color w:val="10B981"/>
          <w:sz w:val="18"/>
        </w:rPr>
        <w:t xml:space="preserve">  ✓  </w:t>
      </w:r>
      <w:r>
        <w:rPr>
          <w:rFonts w:ascii="Calibri" w:hAnsi="Calibri"/>
          <w:b/>
          <w:i w:val="0"/>
          <w:color w:val="F3F4F6"/>
          <w:sz w:val="18"/>
        </w:rPr>
        <w:t>Audit 16 critical digital pillars</w:t>
      </w:r>
      <w:r>
        <w:rPr>
          <w:rFonts w:ascii="Calibri" w:hAnsi="Calibri"/>
          <w:b w:val="0"/>
          <w:i w:val="0"/>
          <w:color w:val="D1D5DB"/>
          <w:sz w:val="18"/>
        </w:rPr>
        <w:t xml:space="preserve"> of your business in 2 hours, not months.</w:t>
      </w:r>
    </w:p>
    <w:p>
      <w:pPr>
        <w:spacing w:before="0" w:after="60" w:line="280" w:lineRule="exact"/>
      </w:pPr>
      <w:r>
        <w:rPr>
          <w:rFonts w:ascii="Calibri" w:hAnsi="Calibri"/>
          <w:b/>
          <w:i w:val="0"/>
          <w:color w:val="10B981"/>
          <w:sz w:val="18"/>
        </w:rPr>
        <w:t xml:space="preserve">  ✓  </w:t>
      </w:r>
      <w:r>
        <w:rPr>
          <w:rFonts w:ascii="Calibri" w:hAnsi="Calibri"/>
          <w:b/>
          <w:i w:val="0"/>
          <w:color w:val="F3F4F6"/>
          <w:sz w:val="18"/>
        </w:rPr>
        <w:t>Fortune‑500 grade, hyper‑personalized, NACD‑ready</w:t>
      </w:r>
      <w:r>
        <w:rPr>
          <w:rFonts w:ascii="Calibri" w:hAnsi="Calibri"/>
          <w:b w:val="0"/>
          <w:i w:val="0"/>
          <w:color w:val="D1D5DB"/>
          <w:sz w:val="18"/>
        </w:rPr>
        <w:t xml:space="preserve"> audit intelligence.</w:t>
      </w:r>
    </w:p>
    <w:p>
      <w:pPr>
        <w:spacing w:before="0" w:after="60" w:line="280" w:lineRule="exact"/>
      </w:pPr>
      <w:r>
        <w:rPr>
          <w:rFonts w:ascii="Calibri" w:hAnsi="Calibri"/>
          <w:b/>
          <w:i w:val="0"/>
          <w:color w:val="10B981"/>
          <w:sz w:val="18"/>
        </w:rPr>
        <w:t xml:space="preserve">  ✓  </w:t>
      </w:r>
      <w:r>
        <w:rPr>
          <w:rFonts w:ascii="Calibri" w:hAnsi="Calibri"/>
          <w:b/>
          <w:i w:val="0"/>
          <w:color w:val="F3F4F6"/>
          <w:sz w:val="18"/>
        </w:rPr>
        <w:t>No guesswork</w:t>
      </w:r>
      <w:r>
        <w:rPr>
          <w:rFonts w:ascii="Calibri" w:hAnsi="Calibri"/>
          <w:b w:val="0"/>
          <w:i w:val="0"/>
          <w:color w:val="D1D5DB"/>
          <w:sz w:val="18"/>
        </w:rPr>
        <w:t xml:space="preserve"> — 100% data‑driven.</w:t>
      </w:r>
    </w:p>
    <w:p>
      <w:pPr>
        <w:spacing w:before="0" w:after="60" w:line="280" w:lineRule="exact"/>
      </w:pPr>
      <w:r>
        <w:rPr>
          <w:rFonts w:ascii="Calibri" w:hAnsi="Calibri"/>
          <w:b/>
          <w:i w:val="0"/>
          <w:color w:val="10B981"/>
          <w:sz w:val="18"/>
        </w:rPr>
        <w:t xml:space="preserve">  ✓  </w:t>
      </w:r>
      <w:r>
        <w:rPr>
          <w:rFonts w:ascii="Calibri" w:hAnsi="Calibri"/>
          <w:b/>
          <w:i w:val="0"/>
          <w:color w:val="F3F4F6"/>
          <w:sz w:val="18"/>
        </w:rPr>
        <w:t>AI‑assisted, human‑driven</w:t>
      </w:r>
      <w:r>
        <w:rPr>
          <w:rFonts w:ascii="Calibri" w:hAnsi="Calibri"/>
          <w:b w:val="0"/>
          <w:i w:val="0"/>
          <w:color w:val="D1D5DB"/>
          <w:sz w:val="18"/>
        </w:rPr>
        <w:t xml:space="preserve"> clarity with evidence (Dual RAG).</w:t>
      </w:r>
    </w:p>
    <w:p>
      <w:pPr>
        <w:spacing w:before="0" w:after="60" w:line="280" w:lineRule="exact"/>
      </w:pPr>
      <w:r>
        <w:rPr>
          <w:rFonts w:ascii="Calibri" w:hAnsi="Calibri"/>
          <w:b/>
          <w:i w:val="0"/>
          <w:color w:val="10B981"/>
          <w:sz w:val="18"/>
        </w:rPr>
        <w:t xml:space="preserve">  ✓  </w:t>
      </w:r>
      <w:r>
        <w:rPr>
          <w:rFonts w:ascii="Calibri" w:hAnsi="Calibri"/>
          <w:b/>
          <w:i w:val="0"/>
          <w:color w:val="F3F4F6"/>
          <w:sz w:val="18"/>
        </w:rPr>
        <w:t>Precise commercial insights</w:t>
      </w:r>
      <w:r>
        <w:rPr>
          <w:rFonts w:ascii="Calibri" w:hAnsi="Calibri"/>
          <w:b w:val="0"/>
          <w:i w:val="0"/>
          <w:color w:val="D1D5DB"/>
          <w:sz w:val="18"/>
        </w:rPr>
        <w:t xml:space="preserve"> for the Leaders &amp; Founders.</w:t>
      </w:r>
    </w:p>
    <w:p>
      <w:pPr>
        <w:spacing w:before="4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7218"/>
      </w:tblGrid>
      <w:tr>
        <w:tc>
          <w:tcPr>
            <w:tcW w:type="dxa" w:w="7218"/>
            <w:shd w:val="clear" w:color="auto" w:fill="0F0F1E"/>
            <w:tcBorders>
              <w:top w:val="single" w:sz="6" w:color="8B5CF6" w:space="0"/>
              <w:bottom w:val="single" w:sz="6" w:color="8B5CF6" w:space="0"/>
              <w:left w:val="single" w:sz="6" w:color="8B5CF6" w:space="0"/>
              <w:right w:val="single" w:sz="6" w:color="8B5CF6" w:space="0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A78BFA"/>
                <w:sz w:val="16"/>
              </w:rPr>
              <w:t>⊕  TRANSFORMATIONAL OUTCOMES</w:t>
            </w:r>
          </w:p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06"/>
              <w:gridCol w:w="2406"/>
              <w:gridCol w:w="2406"/>
            </w:tblGrid>
            <w:tr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10B981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Strategic Clarity</w:t>
                  </w:r>
                </w:p>
              </w:tc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3B82F6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Board‑Level Confidence</w:t>
                  </w:r>
                </w:p>
              </w:tc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F59E0B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Organizational Visibility</w:t>
                  </w:r>
                </w:p>
              </w:tc>
            </w:tr>
            <w:tr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8B5CF6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Transformation Intelligence</w:t>
                  </w:r>
                </w:p>
              </w:tc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EF4444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Risk Reduction</w:t>
                  </w:r>
                </w:p>
              </w:tc>
              <w:tc>
                <w:tcPr>
                  <w:tcW w:type="dxa" w:w="2406"/>
                  <w:shd w:val="clear" w:color="auto" w:fill="0F0F1E"/>
                  <w:tcBorders>
                    <w:top w:val="none" w:sz="0" w:color="FFFFFF" w:space="0"/>
                    <w:bottom w:val="none" w:sz="0" w:color="FFFFFF" w:space="0"/>
                    <w:left w:val="none" w:sz="0" w:color="FFFFFF" w:space="0"/>
                    <w:right w:val="none" w:sz="0" w:color="FFFFFF" w:space="0"/>
                  </w:tcBorders>
                </w:tcPr>
                <w:p>
                  <w:pPr>
                    <w:spacing w:before="20" w:after="20"/>
                  </w:pPr>
                  <w:r>
                    <w:rPr>
                      <w:rFonts w:ascii="Calibri" w:hAnsi="Calibri"/>
                      <w:b/>
                      <w:i w:val="0"/>
                      <w:color w:val="06B6D4"/>
                      <w:sz w:val="16"/>
                    </w:rPr>
                    <w:t xml:space="preserve">● </w:t>
                  </w:r>
                  <w:r>
                    <w:rPr>
                      <w:rFonts w:ascii="Calibri" w:hAnsi="Calibri"/>
                      <w:b w:val="0"/>
                      <w:i w:val="0"/>
                      <w:color w:val="D1D5DB"/>
                      <w:sz w:val="16"/>
                    </w:rPr>
                    <w:t>Faster Decision Making</w:t>
                  </w:r>
                </w:p>
              </w:tc>
            </w:tr>
          </w:tbl>
          <w:p/>
        </w:tc>
      </w:tr>
    </w:tbl>
    <w:p>
      <w:pPr>
        <w:spacing w:before="120" w:after="80"/>
      </w:pPr>
    </w:p>
    <w:p>
      <w:pPr>
        <w:spacing w:before="0" w:after="80"/>
        <w:jc w:val="left"/>
      </w:pPr>
      <w:r>
        <w:rPr>
          <w:rFonts w:ascii="Calibri" w:hAnsi="Calibri"/>
          <w:b/>
          <w:i w:val="0"/>
          <w:color w:val="000000"/>
          <w:sz w:val="22"/>
        </w:rPr>
        <w:t xml:space="preserve">  Try FREE Digital Audit →  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6B7280"/>
          <w:sz w:val="18"/>
        </w:rPr>
        <w:t xml:space="preserve">Visit: </w:t>
      </w:r>
      <w:r>
        <w:rPr>
          <w:rFonts w:ascii="Calibri" w:hAnsi="Calibri"/>
          <w:b/>
          <w:i w:val="0"/>
          <w:color w:val="10B981"/>
          <w:sz w:val="18"/>
        </w:rPr>
        <w:t>digiaudit.ai</w:t>
      </w:r>
    </w:p>
    <w:p>
      <w:pPr>
        <w:spacing w:before="80" w:after="40"/>
      </w:pPr>
      <w:r>
        <w:drawing>
          <wp:inline xmlns:a="http://schemas.openxmlformats.org/drawingml/2006/main" xmlns:pic="http://schemas.openxmlformats.org/drawingml/2006/picture">
            <wp:extent cx="731520" cy="731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qr-digiaudi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</w:pPr>
      <w:r>
        <w:rPr>
          <w:rFonts w:ascii="Calibri" w:hAnsi="Calibri"/>
          <w:b/>
          <w:i w:val="0"/>
          <w:color w:val="6B7280"/>
          <w:sz w:val="12"/>
        </w:rPr>
        <w:t>SCAN TO VISIT</w:t>
      </w:r>
    </w:p>
    <w:sectPr w:rsidR="00FC693F" w:rsidRPr="0006063C" w:rsidSect="00034616">
      <w:pgSz w:w="8352" w:h="11952"/>
      <w:pgMar w:top="56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